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1</w:t>
      </w:r>
      <w:r>
        <w:rPr>
          <w:rFonts w:hint="default" w:ascii="Malgun Gothic Semilight" w:hAnsi="Malgun Gothic Semilight" w:eastAsia="Malgun Gothic Semilight" w:cs="Malgun Gothic Semilight"/>
          <w:sz w:val="28"/>
          <w:vertAlign w:val="superscript"/>
          <w:lang w:val="en-GB"/>
        </w:rPr>
        <w:t>st</w:t>
      </w:r>
      <w:r>
        <w:rPr>
          <w:rFonts w:hint="default" w:ascii="Malgun Gothic Semilight" w:hAnsi="Malgun Gothic Semilight" w:eastAsia="Malgun Gothic Semilight" w:cs="Malgun Gothic Semilight"/>
          <w:sz w:val="28"/>
          <w:lang w:val="en-GB"/>
        </w:rPr>
        <w:t xml:space="preserve"> November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spacing w:line="240" w:lineRule="auto"/>
        <w:jc w:val="center"/>
        <w:rPr>
          <w:rFonts w:hint="default" w:ascii="Malgun Gothic Semilight" w:hAnsi="Malgun Gothic Semilight" w:eastAsia="Malgun Gothic Semilight" w:cs="Malgun Gothic Semilight"/>
          <w:b w:val="0"/>
          <w:bCs w:val="0"/>
          <w:sz w:val="22"/>
          <w:szCs w:val="22"/>
          <w:lang w:val="en-GB"/>
        </w:rPr>
      </w:pPr>
      <w:r>
        <w:rPr>
          <w:rFonts w:hint="default" w:ascii="Malgun Gothic Semilight" w:hAnsi="Malgun Gothic Semilight" w:eastAsia="Malgun Gothic Semilight" w:cs="Malgun Gothic Semilight"/>
          <w:b w:val="0"/>
          <w:bCs w:val="0"/>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bookmarkStart w:id="0" w:name="_GoBack"/>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Simon Wild</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October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To be coordinated with HW Risk Assessment Visits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Accompanying Trustee to mark site plan responsibilities clearly in blue for LT to incorporate into Lease.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Heslington Allotments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has received no response. To make one further attempt.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Website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follow up with MCPC and make sure update is done.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Lease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to give LT feedback by email for compilation before the next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had arranged to meet Cllr Webb with Trustees on 15</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November.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prepare a shared Google Doc for Trustees to share thoughts prior to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2"/>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 reported that there was still a good amount of planned spending to come. CS and HW had prioritised risk assessment work and lots of tree work to come. It was agreed that Health and Safety actions would be prioritised and then plot clearance work would come afte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r this.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TC urged caution as impact on rental changes unknown at present time.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brief report. There were no unusual issues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circulated a report in his absence. </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ML had no current issues to report. </w:t>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ilvl w:val="0"/>
          <w:numId w:val="0"/>
        </w:numPr>
        <w:suppressLineNumbers w:val="0"/>
        <w:shd w:val="clear" w:fill="FFFFFF"/>
        <w:spacing w:before="0" w:beforeAutospacing="0" w:after="0" w:afterAutospacing="0"/>
        <w:ind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Wigginton Road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LT and SD met with developers at Wigginton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Road. They are going to take out their side of the boundary leaving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our side with coverage. Two parking spaces with bollards to be left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allotment use.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Low Moor Security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had provided quotes from several security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companies and gave a brief outline of her findings.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Meeting on Friday with Security company and CR 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Low Moor</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Scarcroft Rough Sleeping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TC dealing with issue where rough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sleeper using playhouse. Trustees agreed that the tenant should be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asked to secure the playhouse immediately and if unable then YACIO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would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have to arrange its removal.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progress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3"/>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has completed the necessary updates. There were further updates she would like to make and this would involve liaising directly with MCPOC regarding the system.</w:t>
      </w:r>
      <w:r>
        <w:rPr>
          <w:rFonts w:hint="default" w:ascii="Source Sans Pro" w:hAnsi="Source Sans Pro" w:eastAsia="Source Sans Pro" w:cs="Source Sans Pro"/>
          <w:i w:val="0"/>
          <w:iCs w:val="0"/>
          <w:caps w:val="0"/>
          <w:color w:val="auto"/>
          <w:spacing w:val="0"/>
          <w:kern w:val="0"/>
          <w:sz w:val="24"/>
          <w:szCs w:val="24"/>
          <w:shd w:val="clear" w:color="auto" w:fill="auto"/>
          <w:lang w:val="en-GB" w:eastAsia="zh-CN" w:bidi="ar"/>
        </w:rPr>
        <w:t xml:space="preserve">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She highlighted the need for a clear way forward too to manage more significant updates.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 to contact MCPC and progress</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outlined the articles planned for the next Newsletter and Trustees discussed these.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All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Provide a film recommendation for allotmenteers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w:t>
      </w:r>
      <w:r>
        <w:rPr>
          <w:rFonts w:hint="default" w:ascii="Source Sans Pro" w:hAnsi="Source Sans Pro" w:eastAsia="Source Sans Pro" w:cs="Source Sans Pro"/>
          <w:b w:val="0"/>
          <w:bCs w:val="0"/>
          <w:i/>
          <w:iCs/>
          <w:caps w:val="0"/>
          <w:color w:val="auto"/>
          <w:spacing w:val="0"/>
          <w:kern w:val="0"/>
          <w:sz w:val="28"/>
          <w:szCs w:val="28"/>
          <w:shd w:val="clear" w:color="auto" w:fill="auto"/>
          <w:lang w:val="en-GB" w:eastAsia="zh-CN" w:bidi="ar"/>
        </w:rPr>
        <w:t>Regrets, I’ve had a few</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What do you regret on your plot?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Deadline 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December.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p>
    <w:p>
      <w:pPr>
        <w:keepNext w:val="0"/>
        <w:keepLines w:val="0"/>
        <w:widowControl/>
        <w:numPr>
          <w:ilvl w:val="0"/>
          <w:numId w:val="4"/>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Invoicing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13</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December 5pm agreed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check availability and book</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HB/LT to coordinate stamp purchase</w:t>
      </w:r>
    </w:p>
    <w:p>
      <w:pPr>
        <w:keepNext w:val="0"/>
        <w:keepLines w:val="0"/>
        <w:widowControl/>
        <w:numPr>
          <w:ilvl w:val="0"/>
          <w:numId w:val="4"/>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ML submitted an email with a list of issues and Trustees briefly discussed these.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Supporting SS when a Termination has been requested.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Consistency of Site Inspections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SP presented an idea at the SS Meeting.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follow up with SP.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Tenants Refusing to Accept Decisions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Long Term Strategy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agreed that preparing a more formal strategy should be the focus next year after the Lease had been formalised.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Tenants In Nursing Homes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proposed broadly the same rules as for in the event of a tenant’s death. AP highlighting issues surrounding loss of mental capacity. If an LPA is not available to the family then normal non cultivation/non payment processes should be followed to allow for termination of a tenancy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AP to summarise policy for inclusion in the manual and send to SW for approval.</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b.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Repeat Non Cultivation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AM had made a proposal for a policy. Trustees agreed that this required more discussion.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HB to prepare a shared Google Doc for Trustees to develop the policy prior to next SS Meeting.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olor w:val="auto"/>
          <w:spacing w:val="0"/>
          <w:kern w:val="0"/>
          <w:sz w:val="28"/>
          <w:szCs w:val="28"/>
          <w:shd w:val="clear" w:color="auto" w:fill="auto"/>
          <w:lang w:val="en-GB" w:eastAsia="zh-CN" w:bidi="ar"/>
        </w:rPr>
        <w:t>c</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CCTV Signs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Trustees discussed putting up CCTV signs without cameras as a deterrent. It was agreed that it was not considered to be an effective policy and Trustees rejected the idea. LT cautioned against the difficulties concerning use of CCTV and wildlife cameras and the legal issues surrounding them.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 Metal Site Signs - AP presented the quotation for all the requested site signs. Trustees authorised the purchase.</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AP to place order and liaise with CS for putting the signs up.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Concession Charges follow Up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imSun" w:cs="Source Sans Pro"/>
          <w:b/>
          <w:bCs/>
          <w:i w:val="0"/>
          <w:iCs w:val="0"/>
          <w:caps w:val="0"/>
          <w:color w:val="auto"/>
          <w:spacing w:val="0"/>
          <w:sz w:val="28"/>
          <w:szCs w:val="28"/>
          <w:shd w:val="clear" w:fill="FFFFFF"/>
        </w:rPr>
        <w:t>Criteria for Allowing Concession to Those Not Receiving Qualifying Benefits</w:t>
      </w:r>
      <w:r>
        <w:rPr>
          <w:rFonts w:hint="default" w:ascii="Source Sans Pro" w:hAnsi="Source Sans Pro" w:eastAsia="SimSun" w:cs="Source Sans Pro"/>
          <w:b/>
          <w:bCs/>
          <w:i w:val="0"/>
          <w:iCs w:val="0"/>
          <w:caps w:val="0"/>
          <w:color w:val="auto"/>
          <w:spacing w:val="0"/>
          <w:sz w:val="28"/>
          <w:szCs w:val="28"/>
          <w:shd w:val="clear" w:fill="FFFFFF"/>
          <w:lang w:val="en-GB"/>
        </w:rPr>
        <w:t xml:space="preserve"> </w:t>
      </w:r>
      <w:r>
        <w:rPr>
          <w:rFonts w:hint="default" w:ascii="Source Sans Pro" w:hAnsi="Source Sans Pro" w:eastAsia="SimSun" w:cs="Source Sans Pro"/>
          <w:i w:val="0"/>
          <w:iCs w:val="0"/>
          <w:caps w:val="0"/>
          <w:color w:val="auto"/>
          <w:spacing w:val="0"/>
          <w:sz w:val="28"/>
          <w:szCs w:val="28"/>
          <w:shd w:val="clear" w:fill="FFFFFF"/>
          <w:lang w:val="en-GB"/>
        </w:rPr>
        <w:t xml:space="preserve">- TC had been asked several times to grant an exception to policy and requested clarification. ML had provided some ideas and Trustees discussed these and agreed that further discussion was needed. A flow chart was suggested for ease of decision making. </w:t>
      </w:r>
      <w:r>
        <w:rPr>
          <w:rFonts w:hint="default" w:ascii="Source Sans Pro" w:hAnsi="Source Sans Pro" w:eastAsia="SimSun" w:cs="Source Sans Pro"/>
          <w:i w:val="0"/>
          <w:iCs w:val="0"/>
          <w:caps w:val="0"/>
          <w:color w:val="auto"/>
          <w:spacing w:val="0"/>
          <w:sz w:val="28"/>
          <w:szCs w:val="28"/>
          <w:shd w:val="clear" w:fill="FFFFFF"/>
          <w:lang w:val="en-GB"/>
        </w:rPr>
        <w:br w:type="textWrapping"/>
      </w:r>
      <w:r>
        <w:rPr>
          <w:rFonts w:hint="default" w:ascii="Source Sans Pro" w:hAnsi="Source Sans Pro" w:eastAsia="SimSun" w:cs="Source Sans Pro"/>
          <w:b/>
          <w:bCs/>
          <w:i w:val="0"/>
          <w:iCs w:val="0"/>
          <w:caps w:val="0"/>
          <w:color w:val="auto"/>
          <w:spacing w:val="0"/>
          <w:sz w:val="28"/>
          <w:szCs w:val="28"/>
          <w:shd w:val="clear" w:fill="FFFFFF"/>
          <w:lang w:val="en-GB"/>
        </w:rPr>
        <w:t xml:space="preserve">Action: </w:t>
      </w:r>
      <w:r>
        <w:rPr>
          <w:rFonts w:hint="default" w:ascii="Source Sans Pro" w:hAnsi="Source Sans Pro" w:eastAsia="SimSun" w:cs="Source Sans Pro"/>
          <w:i w:val="0"/>
          <w:iCs w:val="0"/>
          <w:caps w:val="0"/>
          <w:color w:val="auto"/>
          <w:spacing w:val="0"/>
          <w:sz w:val="28"/>
          <w:szCs w:val="28"/>
          <w:shd w:val="clear" w:fill="FFFFFF"/>
          <w:lang w:val="en-GB"/>
        </w:rPr>
        <w:t>HB to prepare a shared Google Doc for discussion</w:t>
      </w:r>
      <w:r>
        <w:rPr>
          <w:rFonts w:hint="default" w:ascii="Source Sans Pro" w:hAnsi="Source Sans Pro" w:eastAsia="SimSun" w:cs="Source Sans Pro"/>
          <w:i w:val="0"/>
          <w:iCs w:val="0"/>
          <w:caps w:val="0"/>
          <w:color w:val="auto"/>
          <w:spacing w:val="0"/>
          <w:sz w:val="28"/>
          <w:szCs w:val="28"/>
          <w:shd w:val="clear" w:fill="FFFFFF"/>
          <w:lang w:val="en-GB"/>
        </w:rPr>
        <w:br w:type="textWrapping"/>
      </w:r>
      <w:r>
        <w:rPr>
          <w:rFonts w:hint="default" w:ascii="Source Sans Pro" w:hAnsi="Source Sans Pro" w:eastAsia="SimSun" w:cs="Source Sans Pro"/>
          <w:i w:val="0"/>
          <w:iCs w:val="0"/>
          <w:caps w:val="0"/>
          <w:color w:val="auto"/>
          <w:spacing w:val="0"/>
          <w:sz w:val="28"/>
          <w:szCs w:val="28"/>
          <w:shd w:val="clear" w:fill="FFFFFF"/>
          <w:lang w:val="en-GB"/>
        </w:rPr>
        <w:t xml:space="preserve">- </w:t>
      </w:r>
      <w:r>
        <w:rPr>
          <w:rFonts w:hint="default" w:ascii="Source Sans Pro" w:hAnsi="Source Sans Pro" w:eastAsia="SimSun" w:cs="Source Sans Pro"/>
          <w:b/>
          <w:bCs/>
          <w:i w:val="0"/>
          <w:iCs w:val="0"/>
          <w:caps w:val="0"/>
          <w:color w:val="auto"/>
          <w:spacing w:val="0"/>
          <w:sz w:val="28"/>
          <w:szCs w:val="28"/>
          <w:shd w:val="clear" w:fill="FFFFFF"/>
          <w:lang w:val="en-GB"/>
        </w:rPr>
        <w:t xml:space="preserve"> </w:t>
      </w:r>
      <w:r>
        <w:rPr>
          <w:rFonts w:hint="default" w:ascii="Source Sans Pro" w:hAnsi="Source Sans Pro" w:eastAsia="SimSun" w:cs="Source Sans Pro"/>
          <w:b/>
          <w:bCs/>
          <w:i w:val="0"/>
          <w:iCs w:val="0"/>
          <w:caps w:val="0"/>
          <w:color w:val="auto"/>
          <w:spacing w:val="0"/>
          <w:sz w:val="28"/>
          <w:szCs w:val="28"/>
          <w:shd w:val="clear" w:fill="FFFFFF"/>
        </w:rPr>
        <w:t>Dealing with Non-Payment After Concession Withdrawal</w:t>
      </w:r>
      <w:r>
        <w:rPr>
          <w:rFonts w:hint="default" w:ascii="Source Sans Pro" w:hAnsi="Source Sans Pro" w:eastAsia="SimSun" w:cs="Source Sans Pro"/>
          <w:i w:val="0"/>
          <w:iCs w:val="0"/>
          <w:caps w:val="0"/>
          <w:color w:val="auto"/>
          <w:spacing w:val="0"/>
          <w:sz w:val="28"/>
          <w:szCs w:val="28"/>
          <w:shd w:val="clear" w:fill="FFFFFF"/>
        </w:rPr>
        <w:t> </w:t>
      </w:r>
      <w:r>
        <w:rPr>
          <w:rFonts w:hint="default" w:ascii="Source Sans Pro" w:hAnsi="Source Sans Pro" w:eastAsia="SimSun" w:cs="Source Sans Pro"/>
          <w:i w:val="0"/>
          <w:iCs w:val="0"/>
          <w:caps w:val="0"/>
          <w:color w:val="auto"/>
          <w:spacing w:val="0"/>
          <w:sz w:val="28"/>
          <w:szCs w:val="28"/>
          <w:shd w:val="clear" w:fill="FFFFFF"/>
          <w:lang w:val="en-GB"/>
        </w:rPr>
        <w:t xml:space="preserve">- Trustees discussed the issue and agreed that in the event of non-payment the normal non payment process would be followed. </w:t>
      </w:r>
      <w:r>
        <w:rPr>
          <w:rFonts w:hint="default" w:ascii="Source Sans Pro" w:hAnsi="Source Sans Pro" w:eastAsia="SimSun" w:cs="Source Sans Pro"/>
          <w:i w:val="0"/>
          <w:iCs w:val="0"/>
          <w:caps w:val="0"/>
          <w:color w:val="auto"/>
          <w:spacing w:val="0"/>
          <w:sz w:val="28"/>
          <w:szCs w:val="28"/>
          <w:shd w:val="clear" w:fill="FFFFFF"/>
          <w:lang w:val="en-GB"/>
        </w:rPr>
        <w:br w:type="textWrapping"/>
      </w:r>
      <w:r>
        <w:rPr>
          <w:rFonts w:hint="default" w:ascii="Source Sans Pro" w:hAnsi="Source Sans Pro" w:eastAsia="SimSun" w:cs="Source Sans Pro"/>
          <w:i w:val="0"/>
          <w:iCs w:val="0"/>
          <w:color w:val="auto"/>
          <w:spacing w:val="0"/>
          <w:sz w:val="28"/>
          <w:szCs w:val="28"/>
          <w:shd w:val="clear" w:fill="FFFFFF"/>
          <w:lang w:val="en-GB"/>
        </w:rPr>
        <w:t>e</w:t>
      </w:r>
      <w:r>
        <w:rPr>
          <w:rFonts w:hint="default" w:ascii="Source Sans Pro" w:hAnsi="Source Sans Pro" w:eastAsia="SimSun" w:cs="Source Sans Pro"/>
          <w:i w:val="0"/>
          <w:iCs w:val="0"/>
          <w:caps w:val="0"/>
          <w:color w:val="auto"/>
          <w:spacing w:val="0"/>
          <w:sz w:val="28"/>
          <w:szCs w:val="28"/>
          <w:shd w:val="clear" w:fill="FFFFFF"/>
          <w:lang w:val="en-GB"/>
        </w:rPr>
        <w:t xml:space="preserve">. </w:t>
      </w:r>
      <w:r>
        <w:rPr>
          <w:rFonts w:hint="default" w:ascii="Source Sans Pro" w:hAnsi="Source Sans Pro" w:eastAsia="SimSun" w:cs="Source Sans Pro"/>
          <w:b/>
          <w:bCs/>
          <w:i w:val="0"/>
          <w:iCs w:val="0"/>
          <w:caps w:val="0"/>
          <w:color w:val="auto"/>
          <w:spacing w:val="0"/>
          <w:sz w:val="28"/>
          <w:szCs w:val="28"/>
          <w:shd w:val="clear" w:fill="FFFFFF"/>
          <w:lang w:val="en-GB"/>
        </w:rPr>
        <w:t>Tenants Leaving York - T</w:t>
      </w:r>
      <w:r>
        <w:rPr>
          <w:rFonts w:hint="default" w:ascii="Source Sans Pro" w:hAnsi="Source Sans Pro" w:eastAsia="SimSun" w:cs="Source Sans Pro"/>
          <w:b w:val="0"/>
          <w:bCs w:val="0"/>
          <w:i w:val="0"/>
          <w:iCs w:val="0"/>
          <w:caps w:val="0"/>
          <w:color w:val="auto"/>
          <w:spacing w:val="0"/>
          <w:sz w:val="28"/>
          <w:szCs w:val="28"/>
          <w:shd w:val="clear" w:fill="FFFFFF"/>
          <w:lang w:val="en-GB"/>
        </w:rPr>
        <w:t xml:space="preserve">rustees discussed the existing policy on tenants who moved outside of York. Some felt that they should not be permitted to keep their plot in this circumstance. Others felt that the current non cultivation/non payment policies were sufficient as anyone not able to garden would be evicted on that basis. It was agreed to keep the current policy in place but review at a later date if any issues had arisen.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ML had queried continuing to contribute to discussions via email during her absence. Trustees agreed this.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confirm by email</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Trustee Vacancy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HB highlighted the need for a longer term recruitment strategy.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December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t>13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December -</w:t>
      </w:r>
      <w:bookmarkEnd w:id="0"/>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Invoicing Envelopes</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24140656"/>
    <w:multiLevelType w:val="singleLevel"/>
    <w:tmpl w:val="24140656"/>
    <w:lvl w:ilvl="0" w:tentative="0">
      <w:start w:val="1"/>
      <w:numFmt w:val="decimal"/>
      <w:lvlText w:val="%1."/>
      <w:lvlJc w:val="left"/>
      <w:pPr>
        <w:tabs>
          <w:tab w:val="left" w:pos="425"/>
        </w:tabs>
        <w:ind w:left="425" w:leftChars="0" w:hanging="425" w:firstLineChars="0"/>
      </w:pPr>
      <w:rPr>
        <w:rFonts w:hint="default"/>
      </w:rPr>
    </w:lvl>
  </w:abstractNum>
  <w:abstractNum w:abstractNumId="2">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B0419"/>
    <w:rsid w:val="470C2173"/>
    <w:rsid w:val="4754136B"/>
    <w:rsid w:val="480264FC"/>
    <w:rsid w:val="498E39A7"/>
    <w:rsid w:val="49E02DAD"/>
    <w:rsid w:val="49E41E2C"/>
    <w:rsid w:val="4A194BCD"/>
    <w:rsid w:val="4A616F78"/>
    <w:rsid w:val="4B526283"/>
    <w:rsid w:val="4BE93E76"/>
    <w:rsid w:val="4C1E748F"/>
    <w:rsid w:val="4C8F5394"/>
    <w:rsid w:val="4F1E5A41"/>
    <w:rsid w:val="4FA715E7"/>
    <w:rsid w:val="50436F0A"/>
    <w:rsid w:val="518908F4"/>
    <w:rsid w:val="518A263F"/>
    <w:rsid w:val="51B7249A"/>
    <w:rsid w:val="51F375A4"/>
    <w:rsid w:val="52FE5F1A"/>
    <w:rsid w:val="549A2B03"/>
    <w:rsid w:val="556C0C14"/>
    <w:rsid w:val="56DA108D"/>
    <w:rsid w:val="5912646D"/>
    <w:rsid w:val="59707C28"/>
    <w:rsid w:val="5A007E8A"/>
    <w:rsid w:val="5AA76C8E"/>
    <w:rsid w:val="5B690C52"/>
    <w:rsid w:val="5BA115BD"/>
    <w:rsid w:val="5BFD206A"/>
    <w:rsid w:val="5C290984"/>
    <w:rsid w:val="5C5771C6"/>
    <w:rsid w:val="5CAE6381"/>
    <w:rsid w:val="5D3C274B"/>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CD47BE2"/>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2023-11-08T17:17:11Z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422EFCD0A47142CDBCBD0E161C9C47CD</vt:lpwstr>
  </property>
</Properties>
</file>